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F116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395484AD" w14:textId="77777777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>İdarenin Adı                       :</w:t>
      </w:r>
      <w:r>
        <w:rPr>
          <w:rFonts w:ascii="Times New Roman" w:hAnsi="Times New Roman" w:cs="Times New Roman"/>
          <w:b/>
        </w:rPr>
        <w:t xml:space="preserve"> </w:t>
      </w:r>
      <w:r w:rsidRPr="00491473">
        <w:rPr>
          <w:rFonts w:ascii="Times New Roman" w:hAnsi="Times New Roman" w:cs="Times New Roman"/>
        </w:rPr>
        <w:t xml:space="preserve">Sur </w:t>
      </w:r>
      <w:r>
        <w:rPr>
          <w:rFonts w:ascii="Times New Roman" w:hAnsi="Times New Roman" w:cs="Times New Roman"/>
        </w:rPr>
        <w:t>İlçe Milli Eğitim Müdürlüğü</w:t>
      </w:r>
    </w:p>
    <w:p w14:paraId="7A72B6B6" w14:textId="77777777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>Malın Adı                            :</w:t>
      </w:r>
      <w:r>
        <w:rPr>
          <w:rFonts w:ascii="Times New Roman" w:hAnsi="Times New Roman" w:cs="Times New Roman"/>
        </w:rPr>
        <w:t xml:space="preserve"> Spor Malzemesi Alım İşi</w:t>
      </w:r>
    </w:p>
    <w:p w14:paraId="1DD86A77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14:paraId="127924EF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7227"/>
      </w:tblGrid>
      <w:tr w:rsidR="002102CB" w14:paraId="2D64143C" w14:textId="77777777" w:rsidTr="002D72D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A629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BB7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801B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2102CB" w14:paraId="7EB460CE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1B42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E89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FF857A" w14:textId="77777777" w:rsidR="002102CB" w:rsidRDefault="002102CB" w:rsidP="00BF47CD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Pakistan derili olmalı. 5 numara olmalı.</w:t>
            </w:r>
            <w:r w:rsidRPr="00BF47CD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</w:p>
        </w:tc>
      </w:tr>
      <w:tr w:rsidR="002102CB" w14:paraId="57A95F62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C4E1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A4B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41111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4FCC327E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0ADF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F70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B0EE4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6DF44C5B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ED1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FCC6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Badminton Raketi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F31B35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 , Çiftli olmalı.</w:t>
            </w:r>
          </w:p>
        </w:tc>
      </w:tr>
      <w:tr w:rsidR="002102CB" w14:paraId="7BF85B0B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220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186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Badminton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273DFF" w14:textId="0B6EFF95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 , </w:t>
            </w:r>
          </w:p>
        </w:tc>
      </w:tr>
      <w:tr w:rsidR="002102CB" w14:paraId="2284A142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AD56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4EE" w14:textId="77777777" w:rsidR="002102CB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Ritim Çubuğu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2BCA25" w14:textId="77777777" w:rsidR="002102CB" w:rsidRDefault="002102C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ahşap olmalı.</w:t>
            </w:r>
          </w:p>
        </w:tc>
      </w:tr>
    </w:tbl>
    <w:p w14:paraId="7A587914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2F29DB4B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73CE9CCB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5861FBB3" w14:textId="2011EA74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</w:t>
      </w:r>
      <w:r w:rsidR="000D411F">
        <w:rPr>
          <w:rFonts w:ascii="Times New Roman" w:hAnsi="Times New Roman" w:cs="Times New Roman"/>
          <w:b/>
          <w:sz w:val="24"/>
          <w:szCs w:val="24"/>
        </w:rPr>
        <w:t xml:space="preserve">ekli listedeki okullara 5 iş günün içerisinde teslim edilmek üzere 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nakliyesi, yükleyip indirme işlemleri yükleyiciye aittir.</w:t>
      </w:r>
    </w:p>
    <w:p w14:paraId="4201E7DB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5E2890A0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554142AF" w14:textId="08259647" w:rsidR="008A3B1C" w:rsidRDefault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6B41EF28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ÖNEMLİ</w:t>
      </w:r>
    </w:p>
    <w:p w14:paraId="5B80B077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72FEA476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Numunesi teknik şartname uymayan firmaların tekliflerini değerlendirme dışı kalacaktır</w:t>
      </w:r>
    </w:p>
    <w:p w14:paraId="2DF83DE7" w14:textId="1DD41FC8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 w:rsidRPr="005E32B6">
        <w:rPr>
          <w:rFonts w:ascii="Times New Roman" w:hAnsi="Times New Roman" w:cs="Times New Roman"/>
          <w:b/>
          <w:sz w:val="24"/>
          <w:szCs w:val="24"/>
        </w:rPr>
        <w:tab/>
        <w:t>İhaleyi kazanan firma ürünleri elden 5 iş günü içinde</w:t>
      </w:r>
      <w:r>
        <w:rPr>
          <w:rFonts w:ascii="Times New Roman" w:hAnsi="Times New Roman" w:cs="Times New Roman"/>
          <w:b/>
          <w:sz w:val="24"/>
          <w:szCs w:val="24"/>
        </w:rPr>
        <w:t>, Beybulak Köyü Sarıkaş Mezrası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Bostanpınar Mezrası ilkokulu, Bozdemır ilkokulu, Büyükakören Köyü İkikuyu Mezrası ilkokulu, Çubuklu ilkokulu ,Dumrul ilkokulu, Esenbağ Köyü Yıldız Kozanoğlu ilkokulu, Fidanlar Köyü ilkokulu, </w:t>
      </w:r>
      <w:r>
        <w:rPr>
          <w:rFonts w:ascii="Times New Roman" w:hAnsi="Times New Roman" w:cs="Times New Roman"/>
          <w:b/>
          <w:sz w:val="24"/>
          <w:szCs w:val="24"/>
        </w:rPr>
        <w:t xml:space="preserve">Gencan </w:t>
      </w:r>
      <w:r w:rsidRPr="005E32B6">
        <w:rPr>
          <w:rFonts w:ascii="Times New Roman" w:hAnsi="Times New Roman" w:cs="Times New Roman"/>
          <w:b/>
          <w:sz w:val="24"/>
          <w:szCs w:val="24"/>
        </w:rPr>
        <w:t>ilkokulu,</w:t>
      </w:r>
      <w:r>
        <w:rPr>
          <w:rFonts w:ascii="Times New Roman" w:hAnsi="Times New Roman" w:cs="Times New Roman"/>
          <w:b/>
          <w:sz w:val="24"/>
          <w:szCs w:val="24"/>
        </w:rPr>
        <w:t xml:space="preserve"> Havacılar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İlkokulu, Kapaklıpınar ilkokulu, Karacaören ilkokulu, Koyungüden Köyü İncedal </w:t>
      </w:r>
      <w:r w:rsidRPr="005E32B6">
        <w:rPr>
          <w:rFonts w:ascii="Times New Roman" w:hAnsi="Times New Roman" w:cs="Times New Roman"/>
          <w:b/>
          <w:sz w:val="24"/>
          <w:szCs w:val="24"/>
        </w:rPr>
        <w:lastRenderedPageBreak/>
        <w:t>Mezrası ilkokulu,</w:t>
      </w:r>
      <w:r>
        <w:rPr>
          <w:rFonts w:ascii="Times New Roman" w:hAnsi="Times New Roman" w:cs="Times New Roman"/>
          <w:b/>
          <w:sz w:val="24"/>
          <w:szCs w:val="24"/>
        </w:rPr>
        <w:t>Kumluçat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Kumrucuk ilkokulu, </w:t>
      </w:r>
      <w:r>
        <w:rPr>
          <w:rFonts w:ascii="Times New Roman" w:hAnsi="Times New Roman" w:cs="Times New Roman"/>
          <w:b/>
          <w:sz w:val="24"/>
          <w:szCs w:val="24"/>
        </w:rPr>
        <w:t xml:space="preserve">Kuşlukbağı 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>Nivirtaş ilkokulu, Sarıkamıs ilkokulu, Sarilar ilkokulu, Tanoğlu Hacı Hüsnü Tekışık ilkokulu, Tezgecer ilkokulu, Yayıkçukur İlkokulu, Zorova Mezrası ilkokulu Müdürlüklerine teslim edecektir.</w:t>
      </w:r>
    </w:p>
    <w:p w14:paraId="276B8449" w14:textId="77777777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</w:p>
    <w:p w14:paraId="62BEB54A" w14:textId="553499A4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B60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.../10/2022</w:t>
      </w:r>
    </w:p>
    <w:p w14:paraId="493DD0BE" w14:textId="6CEDC378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…../…./2022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07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5E32B6">
        <w:rPr>
          <w:rFonts w:ascii="Times New Roman" w:hAnsi="Times New Roman" w:cs="Times New Roman"/>
          <w:b/>
          <w:sz w:val="24"/>
          <w:szCs w:val="24"/>
        </w:rPr>
        <w:t>üseyin Gürcan KANAT</w:t>
      </w:r>
    </w:p>
    <w:p w14:paraId="699D3492" w14:textId="77777777" w:rsidR="008C32F0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Yüklenici(İstekli) Firma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      İlçe Milli Eğitim Şube Müdürü </w:t>
      </w:r>
    </w:p>
    <w:p w14:paraId="2502C550" w14:textId="6C4749B3" w:rsidR="005E32B6" w:rsidRPr="007034D2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E32B6" w:rsidRPr="007034D2" w:rsidSect="00E86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2698" w14:textId="77777777" w:rsidR="00061B54" w:rsidRDefault="00061B54" w:rsidP="007034D2">
      <w:pPr>
        <w:spacing w:after="0" w:line="240" w:lineRule="auto"/>
      </w:pPr>
      <w:r>
        <w:separator/>
      </w:r>
    </w:p>
  </w:endnote>
  <w:endnote w:type="continuationSeparator" w:id="0">
    <w:p w14:paraId="32DEB80A" w14:textId="77777777" w:rsidR="00061B54" w:rsidRDefault="00061B54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D630CA9" w14:textId="77777777" w:rsidTr="00450EC0">
      <w:trPr>
        <w:trHeight w:val="284"/>
        <w:jc w:val="right"/>
      </w:trPr>
      <w:tc>
        <w:tcPr>
          <w:tcW w:w="3489" w:type="dxa"/>
        </w:tcPr>
        <w:p w14:paraId="6E2A0732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0DC060BE" w14:textId="77777777" w:rsidTr="00450EC0">
      <w:trPr>
        <w:trHeight w:val="263"/>
        <w:jc w:val="right"/>
      </w:trPr>
      <w:tc>
        <w:tcPr>
          <w:tcW w:w="3489" w:type="dxa"/>
        </w:tcPr>
        <w:p w14:paraId="3BE9A735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84C0D40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7B40" w14:textId="77777777" w:rsidR="00061B54" w:rsidRDefault="00061B54" w:rsidP="007034D2">
      <w:pPr>
        <w:spacing w:after="0" w:line="240" w:lineRule="auto"/>
      </w:pPr>
      <w:r>
        <w:separator/>
      </w:r>
    </w:p>
  </w:footnote>
  <w:footnote w:type="continuationSeparator" w:id="0">
    <w:p w14:paraId="1B3BD56F" w14:textId="77777777" w:rsidR="00061B54" w:rsidRDefault="00061B54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649E5"/>
    <w:multiLevelType w:val="hybridMultilevel"/>
    <w:tmpl w:val="F948FE46"/>
    <w:lvl w:ilvl="0" w:tplc="06A06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F1F1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C"/>
    <w:rsid w:val="00005DE7"/>
    <w:rsid w:val="000255B3"/>
    <w:rsid w:val="000457B8"/>
    <w:rsid w:val="0005035A"/>
    <w:rsid w:val="00061B54"/>
    <w:rsid w:val="000A2129"/>
    <w:rsid w:val="000B607A"/>
    <w:rsid w:val="000D411F"/>
    <w:rsid w:val="001271FB"/>
    <w:rsid w:val="00171BB2"/>
    <w:rsid w:val="001F3E67"/>
    <w:rsid w:val="001F40AC"/>
    <w:rsid w:val="00205D41"/>
    <w:rsid w:val="002102CB"/>
    <w:rsid w:val="00222DCF"/>
    <w:rsid w:val="002600AD"/>
    <w:rsid w:val="00260999"/>
    <w:rsid w:val="00263419"/>
    <w:rsid w:val="002648B1"/>
    <w:rsid w:val="00277E24"/>
    <w:rsid w:val="002A34FA"/>
    <w:rsid w:val="002D4749"/>
    <w:rsid w:val="002D72D0"/>
    <w:rsid w:val="002E45B7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157C1"/>
    <w:rsid w:val="0052221A"/>
    <w:rsid w:val="0054264D"/>
    <w:rsid w:val="00542819"/>
    <w:rsid w:val="00544972"/>
    <w:rsid w:val="00566EC6"/>
    <w:rsid w:val="0059754E"/>
    <w:rsid w:val="005B6D7D"/>
    <w:rsid w:val="005C1AB8"/>
    <w:rsid w:val="005E2EED"/>
    <w:rsid w:val="005E32B6"/>
    <w:rsid w:val="0066276F"/>
    <w:rsid w:val="00665738"/>
    <w:rsid w:val="00676050"/>
    <w:rsid w:val="00687DD4"/>
    <w:rsid w:val="006B6B83"/>
    <w:rsid w:val="006C4C16"/>
    <w:rsid w:val="007034D2"/>
    <w:rsid w:val="007278BF"/>
    <w:rsid w:val="007414D3"/>
    <w:rsid w:val="00747C12"/>
    <w:rsid w:val="007D413C"/>
    <w:rsid w:val="008032F4"/>
    <w:rsid w:val="00813AA5"/>
    <w:rsid w:val="00862745"/>
    <w:rsid w:val="00864B8B"/>
    <w:rsid w:val="00866B79"/>
    <w:rsid w:val="00867392"/>
    <w:rsid w:val="00875086"/>
    <w:rsid w:val="008864F9"/>
    <w:rsid w:val="00895B62"/>
    <w:rsid w:val="008A3B1C"/>
    <w:rsid w:val="008B11D5"/>
    <w:rsid w:val="008C32F0"/>
    <w:rsid w:val="008D5FA8"/>
    <w:rsid w:val="00907604"/>
    <w:rsid w:val="00907C05"/>
    <w:rsid w:val="00930F17"/>
    <w:rsid w:val="00947EE3"/>
    <w:rsid w:val="00961D45"/>
    <w:rsid w:val="00964C5A"/>
    <w:rsid w:val="00971A7D"/>
    <w:rsid w:val="009A4F3F"/>
    <w:rsid w:val="00AA4AB5"/>
    <w:rsid w:val="00AD1564"/>
    <w:rsid w:val="00AE200B"/>
    <w:rsid w:val="00AE662A"/>
    <w:rsid w:val="00B00C34"/>
    <w:rsid w:val="00B0283C"/>
    <w:rsid w:val="00B538E8"/>
    <w:rsid w:val="00B90777"/>
    <w:rsid w:val="00BD096D"/>
    <w:rsid w:val="00BE7454"/>
    <w:rsid w:val="00BF47CD"/>
    <w:rsid w:val="00C22D34"/>
    <w:rsid w:val="00C94301"/>
    <w:rsid w:val="00CC5A29"/>
    <w:rsid w:val="00CE2E32"/>
    <w:rsid w:val="00D107D0"/>
    <w:rsid w:val="00D7290B"/>
    <w:rsid w:val="00D90D46"/>
    <w:rsid w:val="00DB4761"/>
    <w:rsid w:val="00DF2AF0"/>
    <w:rsid w:val="00E022FF"/>
    <w:rsid w:val="00E16251"/>
    <w:rsid w:val="00E2257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67AD5"/>
    <w:rsid w:val="00F859AF"/>
    <w:rsid w:val="00FB4779"/>
    <w:rsid w:val="00FD45FB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HamdiOKKAN</cp:lastModifiedBy>
  <cp:revision>2</cp:revision>
  <cp:lastPrinted>2022-10-17T07:58:00Z</cp:lastPrinted>
  <dcterms:created xsi:type="dcterms:W3CDTF">2022-10-19T05:36:00Z</dcterms:created>
  <dcterms:modified xsi:type="dcterms:W3CDTF">2022-10-19T05:36:00Z</dcterms:modified>
</cp:coreProperties>
</file>